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F6A7" w14:textId="7BB143DA" w:rsidR="00F72818" w:rsidRPr="0010449E" w:rsidRDefault="00F72818" w:rsidP="00F72818">
      <w:pPr>
        <w:rPr>
          <w:rFonts w:ascii="Times-Roman" w:hAnsi="Times-Roman" w:cs="Times-Roman"/>
          <w:i/>
          <w:iCs/>
          <w:kern w:val="0"/>
        </w:rPr>
      </w:pPr>
      <w:r>
        <w:rPr>
          <w:rFonts w:ascii="Times-Roman" w:hAnsi="Times-Roman" w:cs="Times-Roman"/>
          <w:b/>
          <w:bCs/>
          <w:kern w:val="0"/>
        </w:rPr>
        <w:t xml:space="preserve">QUESTION 2:  </w:t>
      </w:r>
      <w:r w:rsidRPr="00F940B7">
        <w:rPr>
          <w:rFonts w:ascii="Times-Roman" w:hAnsi="Times-Roman" w:cs="Times-Roman"/>
          <w:b/>
          <w:bCs/>
          <w:kern w:val="0"/>
        </w:rPr>
        <w:t>Selective Prosecution Claim:</w:t>
      </w:r>
      <w:r>
        <w:rPr>
          <w:rFonts w:ascii="Times-Roman" w:hAnsi="Times-Roman" w:cs="Times-Roman"/>
          <w:kern w:val="0"/>
        </w:rPr>
        <w:t xml:space="preserve"> </w:t>
      </w:r>
      <w:r w:rsidRPr="0010449E">
        <w:rPr>
          <w:rFonts w:ascii="Times-Roman" w:hAnsi="Times-Roman" w:cs="Times-Roman"/>
          <w:i/>
          <w:iCs/>
          <w:kern w:val="0"/>
        </w:rPr>
        <w:t>In your motion claiming selective prosecution, what evidence or examples did you or your counsel present to demonstrate that you were targeted based on your political views compared to others who</w:t>
      </w:r>
      <w:r>
        <w:rPr>
          <w:rFonts w:ascii="Times-Roman" w:hAnsi="Times-Roman" w:cs="Times-Roman"/>
          <w:kern w:val="0"/>
        </w:rPr>
        <w:t xml:space="preserve"> </w:t>
      </w:r>
      <w:r w:rsidRPr="0010449E">
        <w:rPr>
          <w:rFonts w:ascii="Times-Roman" w:hAnsi="Times-Roman" w:cs="Times-Roman"/>
          <w:i/>
          <w:iCs/>
          <w:kern w:val="0"/>
        </w:rPr>
        <w:t xml:space="preserve">engaged in similar conduct but were not prosecuted? </w:t>
      </w:r>
    </w:p>
    <w:p w14:paraId="09DB8B64" w14:textId="5B44FED4" w:rsidR="0010449E" w:rsidRDefault="0010449E" w:rsidP="0010449E">
      <w:pPr>
        <w:autoSpaceDE w:val="0"/>
        <w:autoSpaceDN w:val="0"/>
        <w:adjustRightInd w:val="0"/>
        <w:spacing w:after="0" w:line="240" w:lineRule="auto"/>
        <w:rPr>
          <w:rFonts w:ascii="Helvetica" w:hAnsi="Helvetica" w:cs="Helvetica"/>
          <w:b/>
          <w:bCs/>
          <w:kern w:val="0"/>
        </w:rPr>
      </w:pPr>
      <w:r>
        <w:rPr>
          <w:rFonts w:ascii="Helvetica" w:hAnsi="Helvetica" w:cs="Helvetica"/>
          <w:b/>
          <w:bCs/>
          <w:kern w:val="0"/>
        </w:rPr>
        <w:t>RESPONSE:</w:t>
      </w:r>
    </w:p>
    <w:p w14:paraId="42483853" w14:textId="77777777" w:rsidR="0010449E" w:rsidRDefault="0010449E" w:rsidP="0010449E">
      <w:pPr>
        <w:autoSpaceDE w:val="0"/>
        <w:autoSpaceDN w:val="0"/>
        <w:adjustRightInd w:val="0"/>
        <w:spacing w:after="0" w:line="240" w:lineRule="auto"/>
        <w:rPr>
          <w:rFonts w:ascii="Helvetica" w:hAnsi="Helvetica" w:cs="Helvetica"/>
          <w:kern w:val="0"/>
        </w:rPr>
      </w:pPr>
    </w:p>
    <w:p w14:paraId="467F2177" w14:textId="64F3A4D8"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kern w:val="0"/>
        </w:rPr>
        <w:t>I, Cindy Young, a grandmother in my late sixties with no prior criminal history, was charged with four federal misdemeanors for peacefully walking through the U.S. Capitol on January 6, 2021, with the stated intent to “have my voice heard”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3). My motion to dismiss for selective prosecution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opposed by the government (</w:t>
      </w:r>
      <w:r w:rsidRPr="0010449E">
        <w:rPr>
          <w:rFonts w:ascii="Helvetica" w:hAnsi="Helvetica" w:cs="Helvetica"/>
          <w:b/>
          <w:bCs/>
          <w:kern w:val="0"/>
        </w:rPr>
        <w:t>EXHIBIT</w:t>
      </w:r>
      <w:r w:rsidRPr="0010449E">
        <w:rPr>
          <w:rFonts w:ascii="Helvetica" w:hAnsi="Helvetica" w:cs="Helvetica"/>
          <w:b/>
          <w:bCs/>
          <w:kern w:val="0"/>
        </w:rPr>
        <w:t xml:space="preserve"> B</w:t>
      </w:r>
      <w:r>
        <w:rPr>
          <w:rFonts w:ascii="Helvetica" w:hAnsi="Helvetica" w:cs="Helvetica"/>
          <w:kern w:val="0"/>
        </w:rPr>
        <w:t>, ECF 49) and denied by the court (</w:t>
      </w:r>
      <w:r w:rsidRPr="0010449E">
        <w:rPr>
          <w:rFonts w:ascii="Helvetica" w:hAnsi="Helvetica" w:cs="Helvetica"/>
          <w:b/>
          <w:bCs/>
          <w:kern w:val="0"/>
        </w:rPr>
        <w:t>EXHIBIT</w:t>
      </w:r>
      <w:r w:rsidRPr="0010449E">
        <w:rPr>
          <w:rFonts w:ascii="Helvetica" w:hAnsi="Helvetica" w:cs="Helvetica"/>
          <w:b/>
          <w:bCs/>
          <w:kern w:val="0"/>
        </w:rPr>
        <w:t xml:space="preserve"> C</w:t>
      </w:r>
      <w:r>
        <w:rPr>
          <w:rFonts w:ascii="Helvetica" w:hAnsi="Helvetica" w:cs="Helvetica"/>
          <w:kern w:val="0"/>
        </w:rPr>
        <w:t>, ECF 59), powerfully argued that I was targeted due to my political support for former President Trump, while protesters with opposing views—such as those for Black Lives Matter (BLM) or pro-Palestinian causes—who engaged in similar or more severe conduct faced no or lenient federal prosecution. Supported by a comparable case’s reply brief (</w:t>
      </w:r>
      <w:r w:rsidRPr="0010449E">
        <w:rPr>
          <w:rFonts w:ascii="Helvetica" w:hAnsi="Helvetica" w:cs="Helvetica"/>
          <w:b/>
          <w:bCs/>
          <w:kern w:val="0"/>
        </w:rPr>
        <w:t>EXHIBIT</w:t>
      </w:r>
      <w:r w:rsidRPr="0010449E">
        <w:rPr>
          <w:rFonts w:ascii="Helvetica" w:hAnsi="Helvetica" w:cs="Helvetica"/>
          <w:b/>
          <w:bCs/>
          <w:kern w:val="0"/>
        </w:rPr>
        <w:t xml:space="preserve"> D</w:t>
      </w:r>
      <w:r>
        <w:rPr>
          <w:rFonts w:ascii="Helvetica" w:hAnsi="Helvetica" w:cs="Helvetica"/>
          <w:kern w:val="0"/>
        </w:rPr>
        <w:t xml:space="preserve">, Brown ECF 101), my counsel, Jonathan Gross, presented compelling evidence of discriminatory effect and purpose under </w:t>
      </w:r>
      <w:r>
        <w:rPr>
          <w:rFonts w:ascii="Helvetica" w:hAnsi="Helvetica" w:cs="Helvetica"/>
          <w:i/>
          <w:iCs/>
          <w:kern w:val="0"/>
        </w:rPr>
        <w:t>United States v. Armstrong</w:t>
      </w:r>
      <w:r>
        <w:rPr>
          <w:rFonts w:ascii="Helvetica" w:hAnsi="Helvetica" w:cs="Helvetica"/>
          <w:kern w:val="0"/>
        </w:rPr>
        <w:t xml:space="preserve">, 517 U.S. 456 (1996). Below, I summarize the key examples and evidence from these </w:t>
      </w:r>
      <w:r w:rsidRPr="0010449E">
        <w:rPr>
          <w:rFonts w:ascii="Helvetica" w:hAnsi="Helvetica" w:cs="Helvetica"/>
          <w:b/>
          <w:bCs/>
          <w:kern w:val="0"/>
        </w:rPr>
        <w:t>EXHIBITS</w:t>
      </w:r>
      <w:r>
        <w:rPr>
          <w:rFonts w:ascii="Helvetica" w:hAnsi="Helvetica" w:cs="Helvetica"/>
          <w:kern w:val="0"/>
        </w:rPr>
        <w:t xml:space="preserve"> to demonstrate this unconstitutional viewpoint discrimination.</w:t>
      </w:r>
    </w:p>
    <w:p w14:paraId="0013355D" w14:textId="77777777" w:rsidR="0010449E" w:rsidRDefault="0010449E" w:rsidP="0010449E">
      <w:pPr>
        <w:autoSpaceDE w:val="0"/>
        <w:autoSpaceDN w:val="0"/>
        <w:adjustRightInd w:val="0"/>
        <w:spacing w:after="0" w:line="240" w:lineRule="auto"/>
        <w:rPr>
          <w:rFonts w:ascii="Helvetica" w:hAnsi="Helvetica" w:cs="Helvetica"/>
          <w:kern w:val="0"/>
        </w:rPr>
      </w:pPr>
    </w:p>
    <w:p w14:paraId="1633BD88" w14:textId="77777777"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b/>
          <w:bCs/>
          <w:kern w:val="0"/>
        </w:rPr>
        <w:t>My Conduct: Peaceful Presence</w:t>
      </w:r>
    </w:p>
    <w:p w14:paraId="59FAC214" w14:textId="28058C03"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kern w:val="0"/>
        </w:rPr>
        <w:t>As detailed in my motion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pp. 3, 10), I am charged with four boilerplate misdemeanors under 18 U.S.C. § 1752(a)(1)–(2) and 40 U.S.C. § 5104(e)(2)(D), (G) for entering a restricted area of the Capitol, carrying a political flag, and joining a crowd chanting near the House chamber. The government does not allege violence, vandalism, conspiracy, or specific disruptive acts beyond my presence (</w:t>
      </w:r>
      <w:r w:rsidRPr="0010449E">
        <w:rPr>
          <w:rFonts w:ascii="Helvetica" w:hAnsi="Helvetica" w:cs="Helvetica"/>
          <w:b/>
          <w:bCs/>
          <w:kern w:val="0"/>
        </w:rPr>
        <w:t>EXHIBIT</w:t>
      </w:r>
      <w:r w:rsidRPr="0010449E">
        <w:rPr>
          <w:rFonts w:ascii="Helvetica" w:hAnsi="Helvetica" w:cs="Helvetica"/>
          <w:b/>
          <w:bCs/>
          <w:kern w:val="0"/>
        </w:rPr>
        <w:t xml:space="preserve"> C</w:t>
      </w:r>
      <w:r>
        <w:rPr>
          <w:rFonts w:ascii="Helvetica" w:hAnsi="Helvetica" w:cs="Helvetica"/>
          <w:kern w:val="0"/>
        </w:rPr>
        <w:t>, ECF 59, p. 2). Despite this, I was surveilled by the FBI for months, arrested 2.5 years later in shackles, and labeled a “domestic terrorist”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2). In contrast, others with similar or worse conduct were treated far more leniently, as shown below.</w:t>
      </w:r>
    </w:p>
    <w:p w14:paraId="2E62A494" w14:textId="77777777" w:rsidR="0010449E" w:rsidRDefault="0010449E" w:rsidP="0010449E">
      <w:pPr>
        <w:autoSpaceDE w:val="0"/>
        <w:autoSpaceDN w:val="0"/>
        <w:adjustRightInd w:val="0"/>
        <w:spacing w:after="0" w:line="240" w:lineRule="auto"/>
        <w:rPr>
          <w:rFonts w:ascii="Helvetica" w:hAnsi="Helvetica" w:cs="Helvetica"/>
          <w:kern w:val="0"/>
        </w:rPr>
      </w:pPr>
    </w:p>
    <w:p w14:paraId="03F45189" w14:textId="77777777"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b/>
          <w:bCs/>
          <w:kern w:val="0"/>
        </w:rPr>
        <w:t>Evidence of Discriminatory Effect: Unequal Treatment of Similarly Situated Individuals</w:t>
      </w:r>
    </w:p>
    <w:p w14:paraId="4EE8A732" w14:textId="41214101"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kern w:val="0"/>
        </w:rPr>
        <w:t>My motion provided concrete examples of protesters who engaged in comparable or more egregious conduct but faced no equivalent federal prosecution, highlighting a discriminatory effect based on political viewpoint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pp. 5–12):</w:t>
      </w:r>
    </w:p>
    <w:p w14:paraId="4E630C5E" w14:textId="096E4205" w:rsidR="0010449E" w:rsidRDefault="0010449E" w:rsidP="0010449E">
      <w:pPr>
        <w:numPr>
          <w:ilvl w:val="0"/>
          <w:numId w:val="1"/>
        </w:numPr>
        <w:tabs>
          <w:tab w:val="left" w:pos="220"/>
          <w:tab w:val="left" w:pos="720"/>
        </w:tabs>
        <w:autoSpaceDE w:val="0"/>
        <w:autoSpaceDN w:val="0"/>
        <w:adjustRightInd w:val="0"/>
        <w:spacing w:after="0" w:line="240" w:lineRule="auto"/>
        <w:ind w:hanging="720"/>
        <w:rPr>
          <w:rFonts w:ascii="Helvetica" w:hAnsi="Helvetica" w:cs="Helvetica"/>
          <w:kern w:val="0"/>
        </w:rPr>
      </w:pPr>
      <w:r>
        <w:rPr>
          <w:rFonts w:ascii="Helvetica" w:hAnsi="Helvetica" w:cs="Helvetica"/>
          <w:b/>
          <w:bCs/>
          <w:kern w:val="0"/>
        </w:rPr>
        <w:t>Brett Kavanaugh Confirmation Hearings (2018)</w:t>
      </w:r>
      <w:r>
        <w:rPr>
          <w:rFonts w:ascii="Helvetica" w:hAnsi="Helvetica" w:cs="Helvetica"/>
          <w:kern w:val="0"/>
        </w:rPr>
        <w:t>: Protesters stormed the Hart Senate Building, disrupted congressional hearings by shouting, chained themselves to balconies, and entered restricted Senate offices without authorization—conduct mirroring my unauthorized entry and presence in the Capitol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xml:space="preserve">, ECF 33, pp. 5–6). These actions occurred in areas protected by the Secret Service, yet no federal charges under § 1752 or § 5104 </w:t>
      </w:r>
      <w:r>
        <w:rPr>
          <w:rFonts w:ascii="Helvetica" w:hAnsi="Helvetica" w:cs="Helvetica"/>
          <w:kern w:val="0"/>
        </w:rPr>
        <w:lastRenderedPageBreak/>
        <w:t>were filed, and any local arrests were dropped without FBI surveillance or delayed prosecutions.</w:t>
      </w:r>
    </w:p>
    <w:p w14:paraId="48DE5EDF" w14:textId="3A112ECE" w:rsidR="0010449E" w:rsidRDefault="0010449E" w:rsidP="0010449E">
      <w:pPr>
        <w:numPr>
          <w:ilvl w:val="0"/>
          <w:numId w:val="1"/>
        </w:numPr>
        <w:tabs>
          <w:tab w:val="left" w:pos="220"/>
          <w:tab w:val="left" w:pos="720"/>
        </w:tabs>
        <w:autoSpaceDE w:val="0"/>
        <w:autoSpaceDN w:val="0"/>
        <w:adjustRightInd w:val="0"/>
        <w:spacing w:after="0" w:line="240" w:lineRule="auto"/>
        <w:ind w:hanging="720"/>
        <w:rPr>
          <w:rFonts w:ascii="Helvetica" w:hAnsi="Helvetica" w:cs="Helvetica"/>
          <w:kern w:val="0"/>
        </w:rPr>
      </w:pPr>
      <w:r>
        <w:rPr>
          <w:rFonts w:ascii="Helvetica" w:hAnsi="Helvetica" w:cs="Helvetica"/>
          <w:b/>
          <w:bCs/>
          <w:kern w:val="0"/>
        </w:rPr>
        <w:t>George Floyd/BLM Protests (2020)</w:t>
      </w:r>
      <w:r>
        <w:rPr>
          <w:rFonts w:ascii="Helvetica" w:hAnsi="Helvetica" w:cs="Helvetica"/>
          <w:kern w:val="0"/>
        </w:rPr>
        <w:t xml:space="preserve">: Rioters breached the Hart Senate Building, threw objects at police, spray-painted federal property, and disrupted Capitol-area government functions, with some setting fire to a historic building near the White House, a Secret Service </w:t>
      </w:r>
      <w:proofErr w:type="spellStart"/>
      <w:r>
        <w:rPr>
          <w:rFonts w:ascii="Helvetica" w:hAnsi="Helvetica" w:cs="Helvetica"/>
          <w:kern w:val="0"/>
        </w:rPr>
        <w:t>protectee</w:t>
      </w:r>
      <w:proofErr w:type="spellEnd"/>
      <w:r>
        <w:rPr>
          <w:rFonts w:ascii="Helvetica" w:hAnsi="Helvetica" w:cs="Helvetica"/>
          <w:kern w:val="0"/>
        </w:rPr>
        <w:t xml:space="preserve"> area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pp. 6–8). Despite causing over $12 million in damage, only approximately four federal convictions resulted nationwide, compared to over 1,400 January 6 prosecutions, including mine for non-violent presence. No comparable FBI tip-line or mass investigation was launched for these riots, though the statute of limitations remains open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2, n.2).</w:t>
      </w:r>
    </w:p>
    <w:p w14:paraId="15EA59FF" w14:textId="6DE615D8" w:rsidR="0010449E" w:rsidRDefault="0010449E" w:rsidP="0010449E">
      <w:pPr>
        <w:numPr>
          <w:ilvl w:val="0"/>
          <w:numId w:val="1"/>
        </w:numPr>
        <w:tabs>
          <w:tab w:val="left" w:pos="220"/>
          <w:tab w:val="left" w:pos="720"/>
        </w:tabs>
        <w:autoSpaceDE w:val="0"/>
        <w:autoSpaceDN w:val="0"/>
        <w:adjustRightInd w:val="0"/>
        <w:spacing w:after="0" w:line="240" w:lineRule="auto"/>
        <w:ind w:hanging="720"/>
        <w:rPr>
          <w:rFonts w:ascii="Helvetica" w:hAnsi="Helvetica" w:cs="Helvetica"/>
          <w:kern w:val="0"/>
        </w:rPr>
      </w:pPr>
      <w:r>
        <w:rPr>
          <w:rFonts w:ascii="Helvetica" w:hAnsi="Helvetica" w:cs="Helvetica"/>
          <w:b/>
          <w:bCs/>
          <w:kern w:val="0"/>
        </w:rPr>
        <w:t>Pro-Palestinian Protest at DNC Headquarters (2023)</w:t>
      </w:r>
      <w:r>
        <w:rPr>
          <w:rFonts w:ascii="Helvetica" w:hAnsi="Helvetica" w:cs="Helvetica"/>
          <w:kern w:val="0"/>
        </w:rPr>
        <w:t>: Ruben Camacho punched a Capitol Police officer in the face while blocking an emergency congressional exit during a pro-Palestinian protest, resisting arrest and causing bodily injury (</w:t>
      </w:r>
      <w:r w:rsidRPr="0010449E">
        <w:rPr>
          <w:rFonts w:ascii="Helvetica" w:hAnsi="Helvetica" w:cs="Helvetica"/>
          <w:b/>
          <w:bCs/>
          <w:kern w:val="0"/>
        </w:rPr>
        <w:t>EXHIBIT</w:t>
      </w:r>
      <w:r w:rsidRPr="0010449E">
        <w:rPr>
          <w:rFonts w:ascii="Helvetica" w:hAnsi="Helvetica" w:cs="Helvetica"/>
          <w:b/>
          <w:bCs/>
          <w:kern w:val="0"/>
        </w:rPr>
        <w:t xml:space="preserve"> D</w:t>
      </w:r>
      <w:r>
        <w:rPr>
          <w:rFonts w:ascii="Helvetica" w:hAnsi="Helvetica" w:cs="Helvetica"/>
          <w:kern w:val="0"/>
        </w:rPr>
        <w:t>, Brown ECF 101, pp. 1–3, Exhibit 1). This conduct, far more violent than my peaceful presence, would have triggered a felony charge under 18 U.S.C. § 111(b) (up to 20 years) if committed on January 6. Instead, Camacho was charged with a D.C. misdemeanor (22 D.C. Code § 405(b)), pleaded guilty, and received 48 hours of community service with charges dismissed after six months (</w:t>
      </w:r>
      <w:r w:rsidRPr="0010449E">
        <w:rPr>
          <w:rFonts w:ascii="Helvetica" w:hAnsi="Helvetica" w:cs="Helvetica"/>
          <w:b/>
          <w:bCs/>
          <w:kern w:val="0"/>
        </w:rPr>
        <w:t>EXHIBIT</w:t>
      </w:r>
      <w:r w:rsidRPr="0010449E">
        <w:rPr>
          <w:rFonts w:ascii="Helvetica" w:hAnsi="Helvetica" w:cs="Helvetica"/>
          <w:b/>
          <w:bCs/>
          <w:kern w:val="0"/>
        </w:rPr>
        <w:t xml:space="preserve"> D</w:t>
      </w:r>
      <w:r>
        <w:rPr>
          <w:rFonts w:ascii="Helvetica" w:hAnsi="Helvetica" w:cs="Helvetica"/>
          <w:kern w:val="0"/>
        </w:rPr>
        <w:t>, ECF 101, pp. 2–3, Exhibit 3).</w:t>
      </w:r>
    </w:p>
    <w:p w14:paraId="5A8B3BF7" w14:textId="0502E62C"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kern w:val="0"/>
        </w:rPr>
        <w:t>These comparators—engaging in unauthorized entry, disruption of congressional business, or even violence in restricted federal areas—demonstrate that my prosecution was uniquely aggressive due to my association with January 6 and its political context, not my conduct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10).</w:t>
      </w:r>
    </w:p>
    <w:p w14:paraId="2A8852A4" w14:textId="77777777"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b/>
          <w:bCs/>
          <w:kern w:val="0"/>
        </w:rPr>
        <w:t>Evidence of Discriminatory Purpose: Viewpoint-Based Animus</w:t>
      </w:r>
    </w:p>
    <w:p w14:paraId="4AD7243C" w14:textId="7A630087"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kern w:val="0"/>
        </w:rPr>
        <w:t>My motion further established the government’s discriminatory intent through official statements, judicial critiques, and insider testimony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pp. 2–5, 13–15):</w:t>
      </w:r>
    </w:p>
    <w:p w14:paraId="3A95F6A7" w14:textId="260BB834" w:rsidR="0010449E" w:rsidRDefault="0010449E" w:rsidP="0010449E">
      <w:pPr>
        <w:numPr>
          <w:ilvl w:val="0"/>
          <w:numId w:val="2"/>
        </w:numPr>
        <w:tabs>
          <w:tab w:val="left" w:pos="220"/>
          <w:tab w:val="left" w:pos="720"/>
        </w:tabs>
        <w:autoSpaceDE w:val="0"/>
        <w:autoSpaceDN w:val="0"/>
        <w:adjustRightInd w:val="0"/>
        <w:spacing w:after="0" w:line="240" w:lineRule="auto"/>
        <w:ind w:hanging="720"/>
        <w:rPr>
          <w:rFonts w:ascii="Helvetica" w:hAnsi="Helvetica" w:cs="Helvetica"/>
          <w:kern w:val="0"/>
        </w:rPr>
      </w:pPr>
      <w:r>
        <w:rPr>
          <w:rFonts w:ascii="Helvetica" w:hAnsi="Helvetica" w:cs="Helvetica"/>
          <w:b/>
          <w:bCs/>
          <w:kern w:val="0"/>
        </w:rPr>
        <w:t>Attorney General Garland’s Statements</w:t>
      </w:r>
      <w:r>
        <w:rPr>
          <w:rFonts w:ascii="Helvetica" w:hAnsi="Helvetica" w:cs="Helvetica"/>
          <w:kern w:val="0"/>
        </w:rPr>
        <w:t>: On January 6’s third anniversary, AG Merrick Garland vowed to “hold all January 6 perpetrators, at any level, accountable” as an “assault on our democracy”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1, n.1). This singular focus on January 6, absent similar zeal for BLM or pro-Palestinian protests, suggests targeting based on political views tied to a “fiercely contested presidential election”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2).</w:t>
      </w:r>
    </w:p>
    <w:p w14:paraId="26242AE1" w14:textId="6E71AEE1" w:rsidR="0010449E" w:rsidRDefault="0010449E" w:rsidP="0010449E">
      <w:pPr>
        <w:numPr>
          <w:ilvl w:val="0"/>
          <w:numId w:val="2"/>
        </w:numPr>
        <w:tabs>
          <w:tab w:val="left" w:pos="220"/>
          <w:tab w:val="left" w:pos="720"/>
        </w:tabs>
        <w:autoSpaceDE w:val="0"/>
        <w:autoSpaceDN w:val="0"/>
        <w:adjustRightInd w:val="0"/>
        <w:spacing w:after="0" w:line="240" w:lineRule="auto"/>
        <w:ind w:hanging="720"/>
        <w:rPr>
          <w:rFonts w:ascii="Helvetica" w:hAnsi="Helvetica" w:cs="Helvetica"/>
          <w:kern w:val="0"/>
        </w:rPr>
      </w:pPr>
      <w:r>
        <w:rPr>
          <w:rFonts w:ascii="Helvetica" w:hAnsi="Helvetica" w:cs="Helvetica"/>
          <w:b/>
          <w:bCs/>
          <w:kern w:val="0"/>
        </w:rPr>
        <w:t>Judicial Rebukes</w:t>
      </w:r>
      <w:r>
        <w:rPr>
          <w:rFonts w:ascii="Helvetica" w:hAnsi="Helvetica" w:cs="Helvetica"/>
          <w:kern w:val="0"/>
        </w:rPr>
        <w:t xml:space="preserve">: Judge Trevor McFadden, in </w:t>
      </w:r>
      <w:r>
        <w:rPr>
          <w:rFonts w:ascii="Helvetica" w:hAnsi="Helvetica" w:cs="Helvetica"/>
          <w:i/>
          <w:iCs/>
          <w:kern w:val="0"/>
        </w:rPr>
        <w:t>United States v. Seefried</w:t>
      </w:r>
      <w:r>
        <w:rPr>
          <w:rFonts w:ascii="Helvetica" w:hAnsi="Helvetica" w:cs="Helvetica"/>
          <w:kern w:val="0"/>
        </w:rPr>
        <w:t>, 1:21-cr-00287 (D.D.C. Mar. 26, 2024), admonished the government for treating January 6 defendants “as a class” more harshly due to their perceived views, rejecting this “fact-free approach”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xml:space="preserve">, ECF 33, pp. 2–3). Similarly, Justices Thomas, Alito, and Gorsuch, during April 2024 Supreme Court arguments in </w:t>
      </w:r>
      <w:r>
        <w:rPr>
          <w:rFonts w:ascii="Helvetica" w:hAnsi="Helvetica" w:cs="Helvetica"/>
          <w:i/>
          <w:iCs/>
          <w:kern w:val="0"/>
        </w:rPr>
        <w:t>Fischer</w:t>
      </w:r>
      <w:r>
        <w:rPr>
          <w:rFonts w:ascii="Helvetica" w:hAnsi="Helvetica" w:cs="Helvetica"/>
          <w:kern w:val="0"/>
        </w:rPr>
        <w:t>, questioned the DOJ’s selective use of felony enhancements for January 6 defendants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2).</w:t>
      </w:r>
    </w:p>
    <w:p w14:paraId="548DB4C8" w14:textId="2731B3B3" w:rsidR="0010449E" w:rsidRDefault="0010449E" w:rsidP="0010449E">
      <w:pPr>
        <w:numPr>
          <w:ilvl w:val="0"/>
          <w:numId w:val="2"/>
        </w:numPr>
        <w:tabs>
          <w:tab w:val="left" w:pos="220"/>
          <w:tab w:val="left" w:pos="720"/>
        </w:tabs>
        <w:autoSpaceDE w:val="0"/>
        <w:autoSpaceDN w:val="0"/>
        <w:adjustRightInd w:val="0"/>
        <w:spacing w:after="0" w:line="240" w:lineRule="auto"/>
        <w:ind w:hanging="720"/>
        <w:rPr>
          <w:rFonts w:ascii="Helvetica" w:hAnsi="Helvetica" w:cs="Helvetica"/>
          <w:kern w:val="0"/>
        </w:rPr>
      </w:pPr>
      <w:r>
        <w:rPr>
          <w:rFonts w:ascii="Helvetica" w:hAnsi="Helvetica" w:cs="Helvetica"/>
          <w:b/>
          <w:bCs/>
          <w:kern w:val="0"/>
        </w:rPr>
        <w:t>MPD Officer Testimony</w:t>
      </w:r>
      <w:r>
        <w:rPr>
          <w:rFonts w:ascii="Helvetica" w:hAnsi="Helvetica" w:cs="Helvetica"/>
          <w:kern w:val="0"/>
        </w:rPr>
        <w:t>: A sealed Metropolitan Police Department declaration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xml:space="preserve">, ECF 33,) alleged that the government prioritized January 6 prosecutions for “political reasons,” turning a “blind eye” to BLM rioters who </w:t>
      </w:r>
      <w:r>
        <w:rPr>
          <w:rFonts w:ascii="Helvetica" w:hAnsi="Helvetica" w:cs="Helvetica"/>
          <w:kern w:val="0"/>
        </w:rPr>
        <w:lastRenderedPageBreak/>
        <w:t>committed life-threatening assaults, such as throwing bricks or using lasers causing permanent eye damage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pp. 6–7).</w:t>
      </w:r>
    </w:p>
    <w:p w14:paraId="5B07F9F9" w14:textId="77777777" w:rsidR="0010449E" w:rsidRDefault="0010449E" w:rsidP="0010449E">
      <w:pPr>
        <w:tabs>
          <w:tab w:val="left" w:pos="220"/>
          <w:tab w:val="left" w:pos="720"/>
        </w:tabs>
        <w:autoSpaceDE w:val="0"/>
        <w:autoSpaceDN w:val="0"/>
        <w:adjustRightInd w:val="0"/>
        <w:spacing w:after="0" w:line="240" w:lineRule="auto"/>
        <w:rPr>
          <w:rFonts w:ascii="Helvetica" w:hAnsi="Helvetica" w:cs="Helvetica"/>
          <w:kern w:val="0"/>
        </w:rPr>
      </w:pPr>
    </w:p>
    <w:p w14:paraId="5B5D3B97" w14:textId="6854B7D8"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kern w:val="0"/>
        </w:rPr>
        <w:t>The government’s opposition (</w:t>
      </w:r>
      <w:r w:rsidRPr="0010449E">
        <w:rPr>
          <w:rFonts w:ascii="Helvetica" w:hAnsi="Helvetica" w:cs="Helvetica"/>
          <w:b/>
          <w:bCs/>
          <w:kern w:val="0"/>
        </w:rPr>
        <w:t>EXHIBIT</w:t>
      </w:r>
      <w:r w:rsidRPr="0010449E">
        <w:rPr>
          <w:rFonts w:ascii="Helvetica" w:hAnsi="Helvetica" w:cs="Helvetica"/>
          <w:b/>
          <w:bCs/>
          <w:kern w:val="0"/>
        </w:rPr>
        <w:t xml:space="preserve"> B</w:t>
      </w:r>
      <w:r>
        <w:rPr>
          <w:rFonts w:ascii="Helvetica" w:hAnsi="Helvetica" w:cs="Helvetica"/>
          <w:kern w:val="0"/>
        </w:rPr>
        <w:t xml:space="preserve">, ECF 49) argued that January 6’s unique impact on Congress justified harsher treatment, but this rationale was criticized as viewpoint-driven in </w:t>
      </w:r>
      <w:r>
        <w:rPr>
          <w:rFonts w:ascii="Helvetica" w:hAnsi="Helvetica" w:cs="Helvetica"/>
          <w:i/>
          <w:iCs/>
          <w:kern w:val="0"/>
        </w:rPr>
        <w:t>Seefried</w:t>
      </w:r>
      <w:r>
        <w:rPr>
          <w:rFonts w:ascii="Helvetica" w:hAnsi="Helvetica" w:cs="Helvetica"/>
          <w:kern w:val="0"/>
        </w:rPr>
        <w:t xml:space="preserve">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2). The Brown reply (</w:t>
      </w:r>
      <w:r w:rsidRPr="0010449E">
        <w:rPr>
          <w:rFonts w:ascii="Helvetica" w:hAnsi="Helvetica" w:cs="Helvetica"/>
          <w:b/>
          <w:bCs/>
          <w:kern w:val="0"/>
        </w:rPr>
        <w:t>EXHIBIT</w:t>
      </w:r>
      <w:r w:rsidRPr="0010449E">
        <w:rPr>
          <w:rFonts w:ascii="Helvetica" w:hAnsi="Helvetica" w:cs="Helvetica"/>
          <w:b/>
          <w:bCs/>
          <w:kern w:val="0"/>
        </w:rPr>
        <w:t xml:space="preserve"> D</w:t>
      </w:r>
      <w:r>
        <w:rPr>
          <w:rFonts w:ascii="Helvetica" w:hAnsi="Helvetica" w:cs="Helvetica"/>
          <w:kern w:val="0"/>
        </w:rPr>
        <w:t>, ECF 101) reinforced this pattern with Camacho’s lenient plea, finalized days after the government’s opposition, showing ongoing disparity (</w:t>
      </w:r>
      <w:r w:rsidRPr="0010449E">
        <w:rPr>
          <w:rFonts w:ascii="Helvetica" w:hAnsi="Helvetica" w:cs="Helvetica"/>
          <w:b/>
          <w:bCs/>
          <w:kern w:val="0"/>
        </w:rPr>
        <w:t>EXHIBIT</w:t>
      </w:r>
      <w:r w:rsidRPr="0010449E">
        <w:rPr>
          <w:rFonts w:ascii="Helvetica" w:hAnsi="Helvetica" w:cs="Helvetica"/>
          <w:b/>
          <w:bCs/>
          <w:kern w:val="0"/>
        </w:rPr>
        <w:t xml:space="preserve"> D</w:t>
      </w:r>
      <w:r>
        <w:rPr>
          <w:rFonts w:ascii="Helvetica" w:hAnsi="Helvetica" w:cs="Helvetica"/>
          <w:kern w:val="0"/>
        </w:rPr>
        <w:t>, ECF 101, p. 2).</w:t>
      </w:r>
    </w:p>
    <w:p w14:paraId="13C43FD7" w14:textId="77777777" w:rsidR="0010449E" w:rsidRDefault="0010449E" w:rsidP="0010449E">
      <w:pPr>
        <w:autoSpaceDE w:val="0"/>
        <w:autoSpaceDN w:val="0"/>
        <w:adjustRightInd w:val="0"/>
        <w:spacing w:after="0" w:line="240" w:lineRule="auto"/>
        <w:rPr>
          <w:rFonts w:ascii="Helvetica" w:hAnsi="Helvetica" w:cs="Helvetica"/>
          <w:kern w:val="0"/>
        </w:rPr>
      </w:pPr>
    </w:p>
    <w:p w14:paraId="22C3EF04" w14:textId="77777777" w:rsidR="0010449E" w:rsidRDefault="0010449E" w:rsidP="0010449E">
      <w:pPr>
        <w:autoSpaceDE w:val="0"/>
        <w:autoSpaceDN w:val="0"/>
        <w:adjustRightInd w:val="0"/>
        <w:spacing w:after="0" w:line="240" w:lineRule="auto"/>
        <w:rPr>
          <w:rFonts w:ascii="Helvetica" w:hAnsi="Helvetica" w:cs="Helvetica"/>
          <w:b/>
          <w:bCs/>
          <w:kern w:val="0"/>
        </w:rPr>
      </w:pPr>
      <w:r>
        <w:rPr>
          <w:rFonts w:ascii="Helvetica" w:hAnsi="Helvetica" w:cs="Helvetica"/>
          <w:b/>
          <w:bCs/>
          <w:kern w:val="0"/>
        </w:rPr>
        <w:t>Conclusion</w:t>
      </w:r>
    </w:p>
    <w:p w14:paraId="11DFEE69" w14:textId="77777777" w:rsidR="0010449E" w:rsidRDefault="0010449E" w:rsidP="0010449E">
      <w:pPr>
        <w:autoSpaceDE w:val="0"/>
        <w:autoSpaceDN w:val="0"/>
        <w:adjustRightInd w:val="0"/>
        <w:spacing w:after="0" w:line="240" w:lineRule="auto"/>
        <w:rPr>
          <w:rFonts w:ascii="Helvetica" w:hAnsi="Helvetica" w:cs="Helvetica"/>
          <w:kern w:val="0"/>
        </w:rPr>
      </w:pPr>
    </w:p>
    <w:p w14:paraId="51B53A27" w14:textId="69BADD7E"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kern w:val="0"/>
        </w:rPr>
        <w:t xml:space="preserve">The attached </w:t>
      </w:r>
      <w:r w:rsidRPr="0010449E">
        <w:rPr>
          <w:rFonts w:ascii="Helvetica" w:hAnsi="Helvetica" w:cs="Helvetica"/>
          <w:b/>
          <w:bCs/>
          <w:kern w:val="0"/>
        </w:rPr>
        <w:t>EXHIBITS</w:t>
      </w:r>
      <w:r>
        <w:rPr>
          <w:rFonts w:ascii="Helvetica" w:hAnsi="Helvetica" w:cs="Helvetica"/>
          <w:kern w:val="0"/>
        </w:rPr>
        <w:t xml:space="preserve"> (</w:t>
      </w:r>
      <w:r w:rsidRPr="0010449E">
        <w:rPr>
          <w:rFonts w:ascii="Helvetica" w:hAnsi="Helvetica" w:cs="Helvetica"/>
          <w:b/>
          <w:bCs/>
          <w:kern w:val="0"/>
        </w:rPr>
        <w:t>A</w:t>
      </w:r>
      <w:r>
        <w:rPr>
          <w:rFonts w:ascii="Helvetica" w:hAnsi="Helvetica" w:cs="Helvetica"/>
          <w:kern w:val="0"/>
        </w:rPr>
        <w:t xml:space="preserve">: Motion to Dismiss, </w:t>
      </w:r>
      <w:r w:rsidRPr="0010449E">
        <w:rPr>
          <w:rFonts w:ascii="Helvetica" w:hAnsi="Helvetica" w:cs="Helvetica"/>
          <w:b/>
          <w:bCs/>
          <w:kern w:val="0"/>
        </w:rPr>
        <w:t>B</w:t>
      </w:r>
      <w:r>
        <w:rPr>
          <w:rFonts w:ascii="Helvetica" w:hAnsi="Helvetica" w:cs="Helvetica"/>
          <w:kern w:val="0"/>
        </w:rPr>
        <w:t xml:space="preserve">: Government’s Opposition, </w:t>
      </w:r>
      <w:r w:rsidRPr="0010449E">
        <w:rPr>
          <w:rFonts w:ascii="Helvetica" w:hAnsi="Helvetica" w:cs="Helvetica"/>
          <w:b/>
          <w:bCs/>
          <w:kern w:val="0"/>
        </w:rPr>
        <w:t>C</w:t>
      </w:r>
      <w:r>
        <w:rPr>
          <w:rFonts w:ascii="Helvetica" w:hAnsi="Helvetica" w:cs="Helvetica"/>
          <w:kern w:val="0"/>
        </w:rPr>
        <w:t xml:space="preserve">: Court Order, </w:t>
      </w:r>
      <w:r w:rsidRPr="0010449E">
        <w:rPr>
          <w:rFonts w:ascii="Helvetica" w:hAnsi="Helvetica" w:cs="Helvetica"/>
          <w:b/>
          <w:bCs/>
          <w:kern w:val="0"/>
        </w:rPr>
        <w:t>D</w:t>
      </w:r>
      <w:r>
        <w:rPr>
          <w:rFonts w:ascii="Helvetica" w:hAnsi="Helvetica" w:cs="Helvetica"/>
          <w:kern w:val="0"/>
        </w:rPr>
        <w:t>: Brown Reply) substantiate that I was prosecuted for my political views as a January 6 defendant, while similarly situated BLM and pro-Palestinian protesters faced minimal or no federal consequences. My counsel’s motion was a powerful challenge to this injustice, exposing a pattern of unequal justice that erodes public trust (</w:t>
      </w: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p. 3). I respectfully request dismissal of all charges or further scrutiny of this selective prosecution to uphold equal protection under the law.</w:t>
      </w:r>
    </w:p>
    <w:p w14:paraId="08508112" w14:textId="77777777" w:rsidR="0010449E" w:rsidRDefault="0010449E" w:rsidP="0010449E">
      <w:pPr>
        <w:autoSpaceDE w:val="0"/>
        <w:autoSpaceDN w:val="0"/>
        <w:adjustRightInd w:val="0"/>
        <w:spacing w:after="0" w:line="240" w:lineRule="auto"/>
        <w:rPr>
          <w:rFonts w:ascii="Helvetica" w:hAnsi="Helvetica" w:cs="Helvetica"/>
          <w:kern w:val="0"/>
        </w:rPr>
      </w:pPr>
    </w:p>
    <w:p w14:paraId="3084D1DF" w14:textId="77777777" w:rsidR="0010449E" w:rsidRDefault="0010449E" w:rsidP="0010449E">
      <w:pPr>
        <w:autoSpaceDE w:val="0"/>
        <w:autoSpaceDN w:val="0"/>
        <w:adjustRightInd w:val="0"/>
        <w:spacing w:after="0" w:line="240" w:lineRule="auto"/>
        <w:rPr>
          <w:rFonts w:ascii="Helvetica" w:hAnsi="Helvetica" w:cs="Helvetica"/>
          <w:kern w:val="0"/>
        </w:rPr>
      </w:pPr>
      <w:r>
        <w:rPr>
          <w:rFonts w:ascii="Helvetica" w:hAnsi="Helvetica" w:cs="Helvetica"/>
          <w:b/>
          <w:bCs/>
          <w:kern w:val="0"/>
        </w:rPr>
        <w:t>Attachments</w:t>
      </w:r>
      <w:r>
        <w:rPr>
          <w:rFonts w:ascii="Helvetica" w:hAnsi="Helvetica" w:cs="Helvetica"/>
          <w:kern w:val="0"/>
        </w:rPr>
        <w:t>:</w:t>
      </w:r>
    </w:p>
    <w:p w14:paraId="72741A78" w14:textId="60772A78" w:rsidR="0010449E" w:rsidRDefault="0010449E" w:rsidP="0010449E">
      <w:pPr>
        <w:numPr>
          <w:ilvl w:val="0"/>
          <w:numId w:val="3"/>
        </w:numPr>
        <w:tabs>
          <w:tab w:val="left" w:pos="220"/>
          <w:tab w:val="left" w:pos="720"/>
        </w:tabs>
        <w:autoSpaceDE w:val="0"/>
        <w:autoSpaceDN w:val="0"/>
        <w:adjustRightInd w:val="0"/>
        <w:spacing w:after="0" w:line="240" w:lineRule="auto"/>
        <w:ind w:hanging="720"/>
        <w:rPr>
          <w:rFonts w:ascii="Helvetica" w:hAnsi="Helvetica" w:cs="Helvetica"/>
          <w:kern w:val="0"/>
        </w:rPr>
      </w:pPr>
      <w:r w:rsidRPr="0010449E">
        <w:rPr>
          <w:rFonts w:ascii="Helvetica" w:hAnsi="Helvetica" w:cs="Helvetica"/>
          <w:b/>
          <w:bCs/>
          <w:kern w:val="0"/>
        </w:rPr>
        <w:t>EXHIBIT</w:t>
      </w:r>
      <w:r w:rsidRPr="0010449E">
        <w:rPr>
          <w:rFonts w:ascii="Helvetica" w:hAnsi="Helvetica" w:cs="Helvetica"/>
          <w:b/>
          <w:bCs/>
          <w:kern w:val="0"/>
        </w:rPr>
        <w:t xml:space="preserve"> A</w:t>
      </w:r>
      <w:r>
        <w:rPr>
          <w:rFonts w:ascii="Helvetica" w:hAnsi="Helvetica" w:cs="Helvetica"/>
          <w:kern w:val="0"/>
        </w:rPr>
        <w:t>: ECF 33 – Motion to Dismiss for Selective Prosecution</w:t>
      </w:r>
    </w:p>
    <w:p w14:paraId="6B287237" w14:textId="17F67E30" w:rsidR="0010449E" w:rsidRDefault="0010449E" w:rsidP="0010449E">
      <w:pPr>
        <w:numPr>
          <w:ilvl w:val="0"/>
          <w:numId w:val="3"/>
        </w:numPr>
        <w:tabs>
          <w:tab w:val="left" w:pos="220"/>
          <w:tab w:val="left" w:pos="720"/>
        </w:tabs>
        <w:autoSpaceDE w:val="0"/>
        <w:autoSpaceDN w:val="0"/>
        <w:adjustRightInd w:val="0"/>
        <w:spacing w:after="0" w:line="240" w:lineRule="auto"/>
        <w:ind w:hanging="720"/>
        <w:rPr>
          <w:rFonts w:ascii="Helvetica" w:hAnsi="Helvetica" w:cs="Helvetica"/>
          <w:kern w:val="0"/>
        </w:rPr>
      </w:pPr>
      <w:r w:rsidRPr="0010449E">
        <w:rPr>
          <w:rFonts w:ascii="Helvetica" w:hAnsi="Helvetica" w:cs="Helvetica"/>
          <w:b/>
          <w:bCs/>
          <w:kern w:val="0"/>
        </w:rPr>
        <w:t>EXHIBIT</w:t>
      </w:r>
      <w:r w:rsidRPr="0010449E">
        <w:rPr>
          <w:rFonts w:ascii="Helvetica" w:hAnsi="Helvetica" w:cs="Helvetica"/>
          <w:b/>
          <w:bCs/>
          <w:kern w:val="0"/>
        </w:rPr>
        <w:t xml:space="preserve"> B</w:t>
      </w:r>
      <w:r>
        <w:rPr>
          <w:rFonts w:ascii="Helvetica" w:hAnsi="Helvetica" w:cs="Helvetica"/>
          <w:kern w:val="0"/>
        </w:rPr>
        <w:t>: ECF 49 – Government’s Opposition</w:t>
      </w:r>
    </w:p>
    <w:p w14:paraId="09B29528" w14:textId="32F32321" w:rsidR="0010449E" w:rsidRDefault="0010449E" w:rsidP="0010449E">
      <w:pPr>
        <w:numPr>
          <w:ilvl w:val="0"/>
          <w:numId w:val="3"/>
        </w:numPr>
        <w:tabs>
          <w:tab w:val="left" w:pos="220"/>
          <w:tab w:val="left" w:pos="720"/>
        </w:tabs>
        <w:autoSpaceDE w:val="0"/>
        <w:autoSpaceDN w:val="0"/>
        <w:adjustRightInd w:val="0"/>
        <w:spacing w:after="0" w:line="240" w:lineRule="auto"/>
        <w:ind w:hanging="720"/>
        <w:rPr>
          <w:rFonts w:ascii="Helvetica" w:hAnsi="Helvetica" w:cs="Helvetica"/>
          <w:kern w:val="0"/>
        </w:rPr>
      </w:pPr>
      <w:r w:rsidRPr="0010449E">
        <w:rPr>
          <w:rFonts w:ascii="Helvetica" w:hAnsi="Helvetica" w:cs="Helvetica"/>
          <w:b/>
          <w:bCs/>
          <w:kern w:val="0"/>
        </w:rPr>
        <w:t>EXHIBIT</w:t>
      </w:r>
      <w:r w:rsidRPr="0010449E">
        <w:rPr>
          <w:rFonts w:ascii="Helvetica" w:hAnsi="Helvetica" w:cs="Helvetica"/>
          <w:b/>
          <w:bCs/>
          <w:kern w:val="0"/>
        </w:rPr>
        <w:t xml:space="preserve"> C</w:t>
      </w:r>
      <w:r>
        <w:rPr>
          <w:rFonts w:ascii="Helvetica" w:hAnsi="Helvetica" w:cs="Helvetica"/>
          <w:kern w:val="0"/>
        </w:rPr>
        <w:t>: ECF 59 – Court Order Denying Motion</w:t>
      </w:r>
    </w:p>
    <w:p w14:paraId="2310C5AC" w14:textId="31C8249B" w:rsidR="0010449E" w:rsidRDefault="0010449E" w:rsidP="0010449E">
      <w:pPr>
        <w:numPr>
          <w:ilvl w:val="0"/>
          <w:numId w:val="3"/>
        </w:numPr>
        <w:tabs>
          <w:tab w:val="left" w:pos="220"/>
          <w:tab w:val="left" w:pos="720"/>
        </w:tabs>
        <w:autoSpaceDE w:val="0"/>
        <w:autoSpaceDN w:val="0"/>
        <w:adjustRightInd w:val="0"/>
        <w:spacing w:after="0" w:line="240" w:lineRule="auto"/>
        <w:ind w:hanging="720"/>
        <w:rPr>
          <w:rFonts w:ascii="Helvetica" w:hAnsi="Helvetica" w:cs="Helvetica"/>
          <w:kern w:val="0"/>
        </w:rPr>
      </w:pPr>
      <w:r w:rsidRPr="0010449E">
        <w:rPr>
          <w:rFonts w:ascii="Helvetica" w:hAnsi="Helvetica" w:cs="Helvetica"/>
          <w:b/>
          <w:bCs/>
          <w:kern w:val="0"/>
        </w:rPr>
        <w:t>EXHIBIT</w:t>
      </w:r>
      <w:r w:rsidRPr="0010449E">
        <w:rPr>
          <w:rFonts w:ascii="Helvetica" w:hAnsi="Helvetica" w:cs="Helvetica"/>
          <w:b/>
          <w:bCs/>
          <w:kern w:val="0"/>
        </w:rPr>
        <w:t xml:space="preserve"> D</w:t>
      </w:r>
      <w:r>
        <w:rPr>
          <w:rFonts w:ascii="Helvetica" w:hAnsi="Helvetica" w:cs="Helvetica"/>
          <w:kern w:val="0"/>
        </w:rPr>
        <w:t>: Brown ECF 101 – Reply Brief (comparable case example)</w:t>
      </w:r>
    </w:p>
    <w:p w14:paraId="16B43159" w14:textId="77777777" w:rsidR="00F72818" w:rsidRDefault="00F72818"/>
    <w:sectPr w:rsidR="00F72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76291199">
    <w:abstractNumId w:val="0"/>
  </w:num>
  <w:num w:numId="2" w16cid:durableId="591353514">
    <w:abstractNumId w:val="1"/>
  </w:num>
  <w:num w:numId="3" w16cid:durableId="312370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18"/>
    <w:rsid w:val="0010449E"/>
    <w:rsid w:val="0054726B"/>
    <w:rsid w:val="00F7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E91301"/>
  <w15:chartTrackingRefBased/>
  <w15:docId w15:val="{7B5D1B8C-AE74-C441-8158-CA911108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18"/>
  </w:style>
  <w:style w:type="paragraph" w:styleId="Heading1">
    <w:name w:val="heading 1"/>
    <w:basedOn w:val="Normal"/>
    <w:next w:val="Normal"/>
    <w:link w:val="Heading1Char"/>
    <w:uiPriority w:val="9"/>
    <w:qFormat/>
    <w:rsid w:val="00F72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818"/>
    <w:rPr>
      <w:rFonts w:eastAsiaTheme="majorEastAsia" w:cstheme="majorBidi"/>
      <w:color w:val="272727" w:themeColor="text1" w:themeTint="D8"/>
    </w:rPr>
  </w:style>
  <w:style w:type="paragraph" w:styleId="Title">
    <w:name w:val="Title"/>
    <w:basedOn w:val="Normal"/>
    <w:next w:val="Normal"/>
    <w:link w:val="TitleChar"/>
    <w:uiPriority w:val="10"/>
    <w:qFormat/>
    <w:rsid w:val="00F72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818"/>
    <w:pPr>
      <w:spacing w:before="160"/>
      <w:jc w:val="center"/>
    </w:pPr>
    <w:rPr>
      <w:i/>
      <w:iCs/>
      <w:color w:val="404040" w:themeColor="text1" w:themeTint="BF"/>
    </w:rPr>
  </w:style>
  <w:style w:type="character" w:customStyle="1" w:styleId="QuoteChar">
    <w:name w:val="Quote Char"/>
    <w:basedOn w:val="DefaultParagraphFont"/>
    <w:link w:val="Quote"/>
    <w:uiPriority w:val="29"/>
    <w:rsid w:val="00F72818"/>
    <w:rPr>
      <w:i/>
      <w:iCs/>
      <w:color w:val="404040" w:themeColor="text1" w:themeTint="BF"/>
    </w:rPr>
  </w:style>
  <w:style w:type="paragraph" w:styleId="ListParagraph">
    <w:name w:val="List Paragraph"/>
    <w:basedOn w:val="Normal"/>
    <w:uiPriority w:val="34"/>
    <w:qFormat/>
    <w:rsid w:val="00F72818"/>
    <w:pPr>
      <w:ind w:left="720"/>
      <w:contextualSpacing/>
    </w:pPr>
  </w:style>
  <w:style w:type="character" w:styleId="IntenseEmphasis">
    <w:name w:val="Intense Emphasis"/>
    <w:basedOn w:val="DefaultParagraphFont"/>
    <w:uiPriority w:val="21"/>
    <w:qFormat/>
    <w:rsid w:val="00F72818"/>
    <w:rPr>
      <w:i/>
      <w:iCs/>
      <w:color w:val="0F4761" w:themeColor="accent1" w:themeShade="BF"/>
    </w:rPr>
  </w:style>
  <w:style w:type="paragraph" w:styleId="IntenseQuote">
    <w:name w:val="Intense Quote"/>
    <w:basedOn w:val="Normal"/>
    <w:next w:val="Normal"/>
    <w:link w:val="IntenseQuoteChar"/>
    <w:uiPriority w:val="30"/>
    <w:qFormat/>
    <w:rsid w:val="00F72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818"/>
    <w:rPr>
      <w:i/>
      <w:iCs/>
      <w:color w:val="0F4761" w:themeColor="accent1" w:themeShade="BF"/>
    </w:rPr>
  </w:style>
  <w:style w:type="character" w:styleId="IntenseReference">
    <w:name w:val="Intense Reference"/>
    <w:basedOn w:val="DefaultParagraphFont"/>
    <w:uiPriority w:val="32"/>
    <w:qFormat/>
    <w:rsid w:val="00F728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frostynhgal@protonmail.com</dc:creator>
  <cp:keywords/>
  <dc:description/>
  <cp:lastModifiedBy>frostynhgal@protonmail.com</cp:lastModifiedBy>
  <cp:revision>2</cp:revision>
  <dcterms:created xsi:type="dcterms:W3CDTF">2025-10-26T18:26:00Z</dcterms:created>
  <dcterms:modified xsi:type="dcterms:W3CDTF">2025-10-26T18:36:00Z</dcterms:modified>
</cp:coreProperties>
</file>